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3" w:rsidRDefault="003F53F3" w:rsidP="00D645CE">
      <w:pPr>
        <w:rPr>
          <w:rFonts w:hint="eastAsia"/>
          <w:b/>
          <w:i/>
          <w:color w:val="E36C0A"/>
          <w:szCs w:val="22"/>
          <w:lang w:eastAsia="zh-TW"/>
        </w:rPr>
      </w:pPr>
    </w:p>
    <w:p w:rsidR="00D97ED1" w:rsidRPr="00D645CE" w:rsidRDefault="00D645CE" w:rsidP="00D645CE">
      <w:pPr>
        <w:ind w:firstLineChars="50" w:firstLine="120"/>
        <w:jc w:val="center"/>
        <w:rPr>
          <w:b/>
          <w:color w:val="E36C0A"/>
          <w:szCs w:val="22"/>
          <w:lang w:eastAsia="zh-TW"/>
        </w:rPr>
      </w:pPr>
      <w:r>
        <w:rPr>
          <w:rFonts w:hint="eastAsia"/>
          <w:b/>
          <w:color w:val="E36C0A"/>
          <w:szCs w:val="22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in">
            <v:imagedata r:id="rId9" o:title="logo_worduse"/>
          </v:shape>
        </w:pict>
      </w:r>
      <w:bookmarkStart w:id="0" w:name="_GoBack"/>
      <w:bookmarkEnd w:id="0"/>
    </w:p>
    <w:p w:rsidR="00CA762B" w:rsidRPr="00CA762B" w:rsidRDefault="00CA762B" w:rsidP="00D645CE">
      <w:pPr>
        <w:spacing w:afterLines="50" w:after="180" w:line="4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CA762B">
        <w:rPr>
          <w:rFonts w:ascii="標楷體" w:eastAsia="標楷體" w:hAnsi="標楷體" w:hint="eastAsia"/>
          <w:b/>
          <w:sz w:val="32"/>
          <w:szCs w:val="32"/>
          <w:lang w:eastAsia="zh-TW"/>
        </w:rPr>
        <w:t>●什麼是建築物公共安全檢查簽證及申報</w:t>
      </w:r>
      <w:r w:rsidR="007B0269">
        <w:rPr>
          <w:rFonts w:ascii="標楷體" w:eastAsia="標楷體" w:hAnsi="標楷體" w:hint="eastAsia"/>
          <w:b/>
          <w:sz w:val="32"/>
          <w:szCs w:val="32"/>
          <w:lang w:eastAsia="zh-TW"/>
        </w:rPr>
        <w:t>制度</w:t>
      </w:r>
      <w:r w:rsidRPr="00CA762B">
        <w:rPr>
          <w:rFonts w:ascii="標楷體" w:eastAsia="標楷體" w:hAnsi="標楷體" w:hint="eastAsia"/>
          <w:b/>
          <w:sz w:val="32"/>
          <w:szCs w:val="32"/>
          <w:lang w:eastAsia="zh-TW"/>
        </w:rPr>
        <w:t>？</w:t>
      </w:r>
    </w:p>
    <w:p w:rsidR="008B0671" w:rsidRPr="008B0671" w:rsidRDefault="00CA762B" w:rsidP="00D645CE">
      <w:pPr>
        <w:spacing w:before="240" w:afterLines="50" w:after="180" w:line="400" w:lineRule="exact"/>
        <w:ind w:left="798" w:rightChars="15" w:right="36" w:hangingChars="285" w:hanging="79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答：</w:t>
      </w:r>
      <w:r w:rsidR="008B0671" w:rsidRPr="008B0671">
        <w:rPr>
          <w:rFonts w:ascii="標楷體" w:eastAsia="標楷體" w:hAnsi="標楷體"/>
          <w:sz w:val="28"/>
          <w:szCs w:val="28"/>
          <w:lang w:eastAsia="zh-TW"/>
        </w:rPr>
        <w:t>所謂「建築物公共安全檢查簽證及申報制度」，係依據建築法第77條第3項</w:t>
      </w:r>
    </w:p>
    <w:p w:rsidR="008B0671" w:rsidRPr="008B0671" w:rsidRDefault="008B0671" w:rsidP="00D645CE">
      <w:pPr>
        <w:spacing w:before="240" w:afterLines="50" w:after="180" w:line="400" w:lineRule="exact"/>
        <w:ind w:left="798" w:rightChars="15" w:right="36" w:hangingChars="285" w:hanging="79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規定，建築物</w:t>
      </w:r>
      <w:proofErr w:type="gramStart"/>
      <w:r w:rsidRPr="008B0671">
        <w:rPr>
          <w:rFonts w:ascii="標楷體" w:eastAsia="標楷體" w:hAnsi="標楷體"/>
          <w:sz w:val="28"/>
          <w:szCs w:val="28"/>
          <w:lang w:eastAsia="zh-TW"/>
        </w:rPr>
        <w:t>若屬供公眾</w:t>
      </w:r>
      <w:proofErr w:type="gramEnd"/>
      <w:r w:rsidRPr="008B0671">
        <w:rPr>
          <w:rFonts w:ascii="標楷體" w:eastAsia="標楷體" w:hAnsi="標楷體"/>
          <w:sz w:val="28"/>
          <w:szCs w:val="28"/>
          <w:lang w:eastAsia="zh-TW"/>
        </w:rPr>
        <w:t>使用或經內政部指定之非公眾使用者，該建築物之所</w:t>
      </w:r>
    </w:p>
    <w:p w:rsidR="008B0671" w:rsidRPr="008B0671" w:rsidRDefault="008B0671" w:rsidP="00D645CE">
      <w:pPr>
        <w:spacing w:before="240" w:afterLines="50" w:after="180" w:line="400" w:lineRule="exact"/>
        <w:ind w:left="798" w:rightChars="15" w:right="36" w:hangingChars="285" w:hanging="79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有權人、使用人應就其建築物構造及設備之安全，委請中央主管建築機關</w:t>
      </w:r>
      <w:proofErr w:type="gramStart"/>
      <w:r w:rsidRPr="008B0671">
        <w:rPr>
          <w:rFonts w:ascii="標楷體" w:eastAsia="標楷體" w:hAnsi="標楷體"/>
          <w:sz w:val="28"/>
          <w:szCs w:val="28"/>
          <w:lang w:eastAsia="zh-TW"/>
        </w:rPr>
        <w:t>（</w:t>
      </w:r>
      <w:proofErr w:type="gramEnd"/>
      <w:r w:rsidRPr="008B0671">
        <w:rPr>
          <w:rFonts w:ascii="標楷體" w:eastAsia="標楷體" w:hAnsi="標楷體"/>
          <w:sz w:val="28"/>
          <w:szCs w:val="28"/>
          <w:lang w:eastAsia="zh-TW"/>
        </w:rPr>
        <w:t>即</w:t>
      </w:r>
    </w:p>
    <w:p w:rsidR="008B0671" w:rsidRPr="008B0671" w:rsidRDefault="008B0671" w:rsidP="00D645CE">
      <w:pPr>
        <w:spacing w:before="240" w:afterLines="50" w:after="180" w:line="400" w:lineRule="exact"/>
        <w:ind w:left="798" w:rightChars="15" w:right="36" w:hangingChars="285" w:hanging="79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內政部</w:t>
      </w:r>
      <w:proofErr w:type="gramStart"/>
      <w:r w:rsidRPr="008B0671">
        <w:rPr>
          <w:rFonts w:ascii="標楷體" w:eastAsia="標楷體" w:hAnsi="標楷體"/>
          <w:sz w:val="28"/>
          <w:szCs w:val="28"/>
          <w:lang w:eastAsia="zh-TW"/>
        </w:rPr>
        <w:t>）</w:t>
      </w:r>
      <w:proofErr w:type="gramEnd"/>
      <w:r w:rsidRPr="008B0671">
        <w:rPr>
          <w:rFonts w:ascii="標楷體" w:eastAsia="標楷體" w:hAnsi="標楷體"/>
          <w:sz w:val="28"/>
          <w:szCs w:val="28"/>
          <w:lang w:eastAsia="zh-TW"/>
        </w:rPr>
        <w:t>認可的專業機構或專業檢查人員辦理檢查簽證，其檢查簽證結果應向</w:t>
      </w:r>
    </w:p>
    <w:p w:rsidR="00CA762B" w:rsidRDefault="008B0671" w:rsidP="00D645CE">
      <w:pPr>
        <w:spacing w:before="240" w:afterLines="50" w:after="180" w:line="400" w:lineRule="exact"/>
        <w:ind w:left="798" w:rightChars="15" w:right="36" w:hangingChars="285" w:hanging="798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當地主管建築機關申報。</w:t>
      </w:r>
    </w:p>
    <w:p w:rsidR="00E835DB" w:rsidRPr="008B0671" w:rsidRDefault="00E835DB" w:rsidP="00D645CE">
      <w:pPr>
        <w:spacing w:before="240" w:afterLines="50" w:after="180" w:line="400" w:lineRule="exact"/>
        <w:ind w:left="799" w:rightChars="15" w:right="36" w:hangingChars="285" w:hanging="799"/>
        <w:jc w:val="both"/>
        <w:rPr>
          <w:rFonts w:ascii="標楷體" w:eastAsia="標楷體" w:hAnsi="標楷體" w:cs="細明體"/>
          <w:b/>
          <w:sz w:val="28"/>
          <w:szCs w:val="28"/>
          <w:lang w:eastAsia="zh-TW"/>
        </w:rPr>
      </w:pPr>
    </w:p>
    <w:p w:rsidR="002E49CB" w:rsidRDefault="00E835DB" w:rsidP="00E835DB">
      <w:pPr>
        <w:pStyle w:val="afc"/>
        <w:spacing w:line="399" w:lineRule="exact"/>
        <w:ind w:left="142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E835D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●建築物公共安全檢查</w:t>
      </w:r>
      <w:r w:rsidR="00FB5BE9" w:rsidRPr="00CA762B">
        <w:rPr>
          <w:rFonts w:ascii="標楷體" w:eastAsia="標楷體" w:hAnsi="標楷體" w:hint="eastAsia"/>
          <w:b/>
          <w:sz w:val="32"/>
          <w:szCs w:val="32"/>
          <w:lang w:eastAsia="zh-TW"/>
        </w:rPr>
        <w:t>簽證</w:t>
      </w:r>
      <w:r w:rsidR="00FB5BE9">
        <w:rPr>
          <w:rFonts w:ascii="標楷體" w:eastAsia="標楷體" w:hAnsi="標楷體" w:hint="eastAsia"/>
          <w:b/>
          <w:sz w:val="32"/>
          <w:szCs w:val="32"/>
          <w:lang w:eastAsia="zh-TW"/>
        </w:rPr>
        <w:t>之申報類別</w:t>
      </w:r>
      <w:r w:rsidR="00FB5BE9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及</w:t>
      </w:r>
      <w:r w:rsidRPr="00E835D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項目</w:t>
      </w:r>
      <w:r w:rsidR="00FB5BE9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有哪些</w:t>
      </w:r>
      <w:r w:rsidRPr="00E835D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？</w:t>
      </w:r>
    </w:p>
    <w:p w:rsidR="00E835DB" w:rsidRPr="00E835DB" w:rsidRDefault="00E835DB" w:rsidP="00E835DB">
      <w:pPr>
        <w:pStyle w:val="afc"/>
        <w:spacing w:line="399" w:lineRule="exact"/>
        <w:ind w:left="142"/>
        <w:rPr>
          <w:rFonts w:ascii="標楷體" w:eastAsia="標楷體" w:hAnsi="標楷體" w:cs="細明體"/>
          <w:b/>
          <w:sz w:val="32"/>
          <w:szCs w:val="32"/>
          <w:lang w:eastAsia="zh-TW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457"/>
        <w:gridCol w:w="3572"/>
      </w:tblGrid>
      <w:tr w:rsidR="00E835DB" w:rsidRPr="002E49CB" w:rsidTr="00E835DB">
        <w:trPr>
          <w:trHeight w:val="486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5DB" w:rsidRPr="00E835DB" w:rsidRDefault="00E835DB" w:rsidP="00E835DB">
            <w:pPr>
              <w:pStyle w:val="afc"/>
              <w:spacing w:line="399" w:lineRule="exact"/>
              <w:ind w:left="142"/>
              <w:jc w:val="center"/>
              <w:rPr>
                <w:rFonts w:ascii="標楷體" w:eastAsia="標楷體" w:hAnsi="標楷體" w:cs="細明體"/>
                <w:b/>
                <w:sz w:val="30"/>
                <w:szCs w:val="30"/>
                <w:lang w:eastAsia="zh-TW"/>
              </w:rPr>
            </w:pPr>
            <w:r w:rsidRPr="00E835DB">
              <w:rPr>
                <w:rFonts w:ascii="標楷體" w:eastAsia="標楷體" w:hAnsi="標楷體" w:cs="細明體" w:hint="eastAsia"/>
                <w:b/>
                <w:sz w:val="30"/>
                <w:szCs w:val="30"/>
                <w:lang w:eastAsia="zh-TW"/>
              </w:rPr>
              <w:t>建築物防火避難設施及設備安全標準檢查簽證項目表</w:t>
            </w:r>
          </w:p>
        </w:tc>
      </w:tr>
      <w:tr w:rsidR="002E49CB" w:rsidRPr="002E49CB" w:rsidTr="00324A54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ind w:left="783" w:right="77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項次</w:t>
            </w:r>
            <w:proofErr w:type="spellEnd"/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 w:rsidP="002E49CB">
            <w:pPr>
              <w:pStyle w:val="TableParagraph"/>
              <w:ind w:right="1219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  <w:lang w:eastAsia="zh-TW"/>
              </w:rPr>
              <w:t xml:space="preserve">        </w:t>
            </w:r>
            <w:proofErr w:type="spellStart"/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檢查項目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 w:rsidP="002E49CB">
            <w:pPr>
              <w:pStyle w:val="TableParagraph"/>
              <w:ind w:right="151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b/>
                <w:sz w:val="26"/>
                <w:szCs w:val="26"/>
                <w:lang w:eastAsia="zh-TW"/>
              </w:rPr>
              <w:t xml:space="preserve">           </w:t>
            </w:r>
            <w:proofErr w:type="spellStart"/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備註</w:t>
            </w:r>
            <w:proofErr w:type="spellEnd"/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CB" w:rsidRPr="002E49CB" w:rsidRDefault="002E49CB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E49CB" w:rsidRPr="002E49CB" w:rsidRDefault="002E49CB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E49CB" w:rsidRPr="002E49CB" w:rsidRDefault="002E49CB">
            <w:pPr>
              <w:pStyle w:val="TableParagraph"/>
              <w:spacing w:before="6" w:line="240" w:lineRule="auto"/>
              <w:ind w:left="0"/>
              <w:rPr>
                <w:rFonts w:ascii="標楷體" w:eastAsia="標楷體" w:hAnsi="標楷體"/>
                <w:sz w:val="31"/>
                <w:lang w:eastAsia="zh-TW"/>
              </w:rPr>
            </w:pPr>
          </w:p>
          <w:p w:rsidR="002E49CB" w:rsidRPr="002E49CB" w:rsidRDefault="002E49CB">
            <w:pPr>
              <w:pStyle w:val="TableParagraph"/>
              <w:spacing w:before="1" w:line="194" w:lineRule="auto"/>
              <w:ind w:left="748" w:right="79" w:hanging="672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（一）防火避難設施類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1.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防火區劃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19" w:lineRule="exact"/>
              <w:ind w:left="76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一、辦理建築物防火避難設施及</w:t>
            </w:r>
          </w:p>
          <w:p w:rsidR="002E49CB" w:rsidRPr="002E49CB" w:rsidRDefault="002E49CB">
            <w:pPr>
              <w:pStyle w:val="TableParagraph"/>
              <w:spacing w:before="15" w:line="194" w:lineRule="auto"/>
              <w:ind w:left="518" w:right="16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設備安全標準檢查之各檢查項目，應按實際現況用途檢查簽證及申報。</w:t>
            </w:r>
          </w:p>
          <w:p w:rsidR="002E49CB" w:rsidRPr="002E49CB" w:rsidRDefault="002E49CB">
            <w:pPr>
              <w:pStyle w:val="TableParagraph"/>
              <w:spacing w:line="194" w:lineRule="auto"/>
              <w:ind w:left="518" w:right="109" w:hanging="4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二、供</w:t>
            </w:r>
            <w:r w:rsidRPr="002E49CB">
              <w:rPr>
                <w:rFonts w:ascii="標楷體" w:eastAsia="標楷體" w:hAnsi="標楷體"/>
                <w:sz w:val="24"/>
                <w:lang w:eastAsia="zh-TW"/>
              </w:rPr>
              <w:t xml:space="preserve"> H-2 </w:t>
            </w: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組別集合住宅使用之建築物，依本表規定之檢查項目為直通樓梯、安全梯、避難層出入口、</w:t>
            </w:r>
            <w:proofErr w:type="gramStart"/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昇</w:t>
            </w:r>
            <w:proofErr w:type="gramEnd"/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降設備、避雷設備及緊急供電系統。</w:t>
            </w: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2.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非防火區劃分間牆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3.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內部裝修材料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4.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避難層出入口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避難層以外樓層出入口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6.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走廊（室內通路）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7.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直通樓梯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8.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安全梯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9.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屋頂避難平臺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43" w:lineRule="exact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10.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緊急進口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CB" w:rsidRPr="002E49CB" w:rsidRDefault="002E49CB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  <w:p w:rsidR="002E49CB" w:rsidRPr="002E49CB" w:rsidRDefault="002E49CB">
            <w:pPr>
              <w:pStyle w:val="TableParagraph"/>
              <w:spacing w:before="14" w:line="240" w:lineRule="auto"/>
              <w:ind w:left="0"/>
              <w:rPr>
                <w:rFonts w:ascii="標楷體" w:eastAsia="標楷體" w:hAnsi="標楷體"/>
                <w:sz w:val="21"/>
              </w:rPr>
            </w:pPr>
          </w:p>
          <w:p w:rsidR="002E49CB" w:rsidRPr="002E49CB" w:rsidRDefault="002E49CB">
            <w:pPr>
              <w:pStyle w:val="TableParagraph"/>
              <w:spacing w:line="240" w:lineRule="auto"/>
              <w:ind w:left="76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</w:rPr>
              <w:t>（</w:t>
            </w:r>
            <w:proofErr w:type="spellStart"/>
            <w:r w:rsidRPr="002E49CB">
              <w:rPr>
                <w:rFonts w:ascii="標楷體" w:eastAsia="標楷體" w:hAnsi="標楷體" w:cs="細明體" w:hint="eastAsia"/>
                <w:sz w:val="24"/>
              </w:rPr>
              <w:t>二）設備安全類</w:t>
            </w:r>
            <w:proofErr w:type="spellEnd"/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1.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昇降設備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2.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避雷設備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3.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緊急供電系統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4.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特殊供電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5.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空調風管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6.</w:t>
            </w:r>
            <w:r w:rsidR="00BA3FB0">
              <w:rPr>
                <w:rFonts w:ascii="標楷體" w:eastAsia="標楷體" w:hAnsi="標楷體" w:cs="細明體" w:hint="eastAsia"/>
                <w:sz w:val="24"/>
              </w:rPr>
              <w:t>燃</w:t>
            </w:r>
            <w:r w:rsidR="00D80971">
              <w:rPr>
                <w:rFonts w:ascii="標楷體" w:eastAsia="標楷體" w:hAnsi="標楷體" w:cs="細明體" w:hint="eastAsia"/>
                <w:sz w:val="24"/>
                <w:lang w:eastAsia="zh-TW"/>
              </w:rPr>
              <w:t>氣</w:t>
            </w:r>
            <w:proofErr w:type="spellStart"/>
            <w:r w:rsidRPr="002E49CB">
              <w:rPr>
                <w:rFonts w:ascii="標楷體" w:eastAsia="標楷體" w:hAnsi="標楷體" w:cs="細明體" w:hint="eastAsia"/>
                <w:sz w:val="24"/>
              </w:rPr>
              <w:t>設備</w:t>
            </w:r>
            <w:proofErr w:type="spellEnd"/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</w:tbl>
    <w:p w:rsidR="002E49CB" w:rsidRPr="002E49CB" w:rsidRDefault="002E49CB" w:rsidP="002E49CB">
      <w:pPr>
        <w:pStyle w:val="afc"/>
        <w:rPr>
          <w:rFonts w:ascii="標楷體" w:eastAsia="標楷體" w:hAnsi="標楷體"/>
        </w:rPr>
      </w:pPr>
    </w:p>
    <w:p w:rsidR="00570700" w:rsidRDefault="00570700" w:rsidP="00570700">
      <w:pPr>
        <w:rPr>
          <w:color w:val="E36C0A"/>
          <w:szCs w:val="22"/>
          <w:lang w:eastAsia="zh-TW"/>
        </w:rPr>
        <w:sectPr w:rsidR="00570700" w:rsidSect="00570700">
          <w:pgSz w:w="11906" w:h="16838"/>
          <w:pgMar w:top="1021" w:right="737" w:bottom="737" w:left="737" w:header="567" w:footer="567" w:gutter="0"/>
          <w:cols w:space="425"/>
          <w:docGrid w:type="lines" w:linePitch="360"/>
        </w:sectPr>
      </w:pPr>
    </w:p>
    <w:p w:rsidR="00D0398E" w:rsidRPr="005D1046" w:rsidRDefault="00D0398E" w:rsidP="00D0398E">
      <w:pPr>
        <w:pStyle w:val="afc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5D1046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●</w:t>
      </w:r>
      <w:r w:rsidR="0004520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建築物公共安全檢查申報期間</w:t>
      </w:r>
    </w:p>
    <w:tbl>
      <w:tblPr>
        <w:tblStyle w:val="TableNormal1"/>
        <w:tblW w:w="14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9"/>
        <w:gridCol w:w="1598"/>
        <w:gridCol w:w="360"/>
        <w:gridCol w:w="3780"/>
        <w:gridCol w:w="2520"/>
        <w:gridCol w:w="1080"/>
        <w:gridCol w:w="1260"/>
        <w:gridCol w:w="1260"/>
        <w:gridCol w:w="2520"/>
      </w:tblGrid>
      <w:tr w:rsidR="0004520B" w:rsidTr="0004520B">
        <w:trPr>
          <w:trHeight w:val="360"/>
        </w:trPr>
        <w:tc>
          <w:tcPr>
            <w:tcW w:w="547" w:type="dxa"/>
            <w:gridSpan w:val="2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1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類別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398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類別定義</w:t>
            </w:r>
            <w:proofErr w:type="spellEnd"/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9" w:right="63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組別</w:t>
            </w:r>
            <w:proofErr w:type="spellEnd"/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1269" w:right="1254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組別定義</w:t>
            </w:r>
            <w:proofErr w:type="spellEnd"/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660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使用項目例舉</w:t>
            </w:r>
            <w:proofErr w:type="spellEnd"/>
          </w:p>
        </w:tc>
        <w:tc>
          <w:tcPr>
            <w:tcW w:w="2340" w:type="dxa"/>
            <w:gridSpan w:val="2"/>
          </w:tcPr>
          <w:p w:rsidR="0004520B" w:rsidRDefault="0004520B" w:rsidP="006067B9">
            <w:pPr>
              <w:pStyle w:val="TableParagraph"/>
              <w:spacing w:line="341" w:lineRule="exact"/>
              <w:ind w:left="950" w:right="935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規模</w:t>
            </w:r>
            <w:proofErr w:type="spellEnd"/>
          </w:p>
        </w:tc>
        <w:tc>
          <w:tcPr>
            <w:tcW w:w="3780" w:type="dxa"/>
            <w:gridSpan w:val="2"/>
          </w:tcPr>
          <w:p w:rsidR="0004520B" w:rsidRDefault="0004520B" w:rsidP="006067B9">
            <w:pPr>
              <w:pStyle w:val="TableParagraph"/>
              <w:spacing w:line="341" w:lineRule="exact"/>
              <w:ind w:left="1270" w:right="1254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檢查申報時間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547" w:type="dxa"/>
            <w:gridSpan w:val="2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39" w:lineRule="exact"/>
              <w:ind w:left="339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樓層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樓地板面積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頻率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9" w:lineRule="exact"/>
              <w:ind w:left="87" w:right="72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期限</w:t>
            </w:r>
            <w:proofErr w:type="spellEnd"/>
          </w:p>
        </w:tc>
      </w:tr>
      <w:tr w:rsidR="0004520B" w:rsidTr="0004520B">
        <w:trPr>
          <w:trHeight w:val="846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spacing w:before="11"/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Ａ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公共集會</w:t>
            </w:r>
            <w:proofErr w:type="spellEnd"/>
          </w:p>
          <w:p w:rsidR="0004520B" w:rsidRDefault="0004520B" w:rsidP="006067B9">
            <w:pPr>
              <w:pStyle w:val="TableParagraph"/>
              <w:spacing w:line="349" w:lineRule="exact"/>
              <w:ind w:left="27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before="162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供集會、觀賞、社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交、等候運輸工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具，且無法防火區劃之場所</w:t>
            </w: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8"/>
              <w:rPr>
                <w:sz w:val="8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before="53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供集會、表演、社交，且具觀眾席及舞台之場所。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53" w:line="204" w:lineRule="auto"/>
              <w:ind w:left="7" w:right="130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9"/>
                <w:sz w:val="20"/>
                <w:lang w:eastAsia="zh-TW"/>
              </w:rPr>
              <w:t>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lang w:eastAsia="zh-TW"/>
              </w:rPr>
              <w:t>（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劇</w:t>
            </w:r>
            <w:r>
              <w:rPr>
                <w:rFonts w:ascii="細明體" w:eastAsia="細明體" w:hAnsi="細明體" w:cs="細明體" w:hint="eastAsia"/>
                <w:spacing w:val="-59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pacing w:val="-15"/>
                <w:sz w:val="20"/>
                <w:lang w:eastAsia="zh-TW"/>
              </w:rPr>
              <w:t>院、電影院、集會堂演藝場、歌廳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before="8"/>
              <w:ind w:left="-15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8"/>
              <w:rPr>
                <w:sz w:val="8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18"/>
              <w:rPr>
                <w:sz w:val="8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86" w:right="72"/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TW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4"/>
              <w:rPr>
                <w:sz w:val="10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4"/>
              <w:rPr>
                <w:sz w:val="1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供旅客等候運輸工具之場所。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91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車站、航空站、候船室等類似場所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41" w:lineRule="exact"/>
              <w:ind w:left="87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446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47"/>
              <w:ind w:left="41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r>
              <w:rPr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47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47"/>
              <w:ind w:left="87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1079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9"/>
              <w:rPr>
                <w:sz w:val="17"/>
              </w:rPr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Ｂ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0"/>
              <w:rPr>
                <w:sz w:val="11"/>
              </w:rPr>
            </w:pPr>
          </w:p>
          <w:p w:rsidR="0004520B" w:rsidRDefault="0004520B" w:rsidP="006067B9">
            <w:pPr>
              <w:pStyle w:val="TableParagraph"/>
              <w:spacing w:before="1"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商業類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0"/>
              <w:rPr>
                <w:sz w:val="11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 w:line="204" w:lineRule="auto"/>
              <w:ind w:left="7" w:right="-29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供商業交易、陳列展售、娛樂、餐</w:t>
            </w:r>
            <w:r>
              <w:rPr>
                <w:spacing w:val="-4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lang w:eastAsia="zh-TW"/>
              </w:rPr>
              <w:t>飲、消費之場所。</w:t>
            </w: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供娛樂消費，處封閉或半封閉場所。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夜總會、酒家、理容院、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ＫＴ</w:t>
            </w:r>
            <w:proofErr w:type="gramEnd"/>
            <w:r>
              <w:rPr>
                <w:spacing w:val="-11"/>
                <w:sz w:val="20"/>
                <w:lang w:eastAsia="zh-TW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Ｖ</w:t>
            </w:r>
            <w:proofErr w:type="gramEnd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ＭＴＶ</w:t>
            </w:r>
            <w:proofErr w:type="gramEnd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、公共浴室、三溫</w:t>
            </w:r>
          </w:p>
          <w:p w:rsidR="0004520B" w:rsidRDefault="0004520B" w:rsidP="006067B9">
            <w:pPr>
              <w:pStyle w:val="TableParagraph"/>
              <w:spacing w:line="348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暖、茶室等類似場所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</w:rPr>
            </w:pPr>
          </w:p>
          <w:p w:rsidR="0004520B" w:rsidRDefault="00220DD4" w:rsidP="006067B9">
            <w:pPr>
              <w:pStyle w:val="TableParagraph"/>
              <w:ind w:left="85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 w:rsidR="0004520B">
              <w:rPr>
                <w:w w:val="80"/>
                <w:sz w:val="20"/>
              </w:rPr>
              <w:t xml:space="preserve"> </w:t>
            </w:r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 w:rsidR="0004520B">
              <w:rPr>
                <w:w w:val="95"/>
                <w:sz w:val="20"/>
              </w:rPr>
              <w:t xml:space="preserve"> </w:t>
            </w:r>
            <w:r w:rsidR="0004520B">
              <w:rPr>
                <w:w w:val="80"/>
                <w:sz w:val="20"/>
              </w:rPr>
              <w:t xml:space="preserve">1 </w:t>
            </w:r>
            <w:proofErr w:type="spellStart"/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 w:rsidR="0004520B">
              <w:rPr>
                <w:w w:val="95"/>
                <w:sz w:val="20"/>
              </w:rPr>
              <w:t xml:space="preserve"> 6 </w:t>
            </w:r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 w:rsidR="0004520B">
              <w:rPr>
                <w:w w:val="95"/>
                <w:sz w:val="20"/>
              </w:rPr>
              <w:t xml:space="preserve"> 30 </w:t>
            </w:r>
            <w:proofErr w:type="spellStart"/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6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7"/>
                <w:sz w:val="20"/>
                <w:lang w:eastAsia="zh-TW"/>
              </w:rPr>
              <w:t>供商品批發、展售或商業交易，且使用人替</w:t>
            </w:r>
          </w:p>
          <w:p w:rsidR="0004520B" w:rsidRDefault="0004520B" w:rsidP="006067B9">
            <w:pPr>
              <w:pStyle w:val="TableParagraph"/>
              <w:spacing w:line="363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換頻率高之場所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百貨公司、商場、市場、量販</w:t>
            </w:r>
          </w:p>
          <w:p w:rsidR="0004520B" w:rsidRDefault="0004520B" w:rsidP="006067B9">
            <w:pPr>
              <w:pStyle w:val="TableParagraph"/>
              <w:spacing w:line="363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店等類似場所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A24082" w:rsidP="006067B9">
            <w:pPr>
              <w:pStyle w:val="TableParagraph"/>
              <w:spacing w:before="126"/>
              <w:ind w:left="84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6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30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1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6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line="338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供不特定人士餐飲，且直接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使用燃具之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場</w:t>
            </w:r>
          </w:p>
          <w:p w:rsidR="0004520B" w:rsidRDefault="0004520B" w:rsidP="006067B9">
            <w:pPr>
              <w:pStyle w:val="TableParagraph"/>
              <w:spacing w:line="361" w:lineRule="exact"/>
              <w:ind w:left="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酒吧、餐廳、咖啡店（廳</w:t>
            </w:r>
            <w:r>
              <w:rPr>
                <w:rFonts w:ascii="細明體" w:eastAsia="細明體" w:hAnsi="細明體" w:cs="細明體" w:hint="eastAsia"/>
                <w:spacing w:val="-101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</w:t>
            </w:r>
          </w:p>
          <w:p w:rsidR="0004520B" w:rsidRDefault="0004520B" w:rsidP="006067B9">
            <w:pPr>
              <w:pStyle w:val="TableParagraph"/>
              <w:spacing w:line="361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飲茶等類似場所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A24082" w:rsidP="006067B9">
            <w:pPr>
              <w:pStyle w:val="TableParagraph"/>
              <w:spacing w:before="126"/>
              <w:ind w:left="84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6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30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6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４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before="126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供不特定人休息住宿之場所。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旅館、觀光飯店等之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客房部等類似</w:t>
            </w:r>
            <w:proofErr w:type="gramEnd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FB7B3E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一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04520B" w:rsidRDefault="00A24082" w:rsidP="006067B9">
            <w:pPr>
              <w:pStyle w:val="TableParagraph"/>
              <w:spacing w:line="341" w:lineRule="exact"/>
              <w:ind w:left="84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6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30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6"/>
              <w:rPr>
                <w:sz w:val="11"/>
              </w:rPr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Ｃ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工業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倉儲類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before="7"/>
              <w:rPr>
                <w:sz w:val="25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7" w:right="-15"/>
              <w:jc w:val="both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供儲存、包裝、製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造、修理物品之場所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62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供儲存、包裝、製造、修理工業物品，且具公害之場所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30"/>
                <w:sz w:val="20"/>
                <w:lang w:eastAsia="zh-TW"/>
              </w:rPr>
              <w:t>加油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（氣</w:t>
            </w:r>
            <w:r>
              <w:rPr>
                <w:rFonts w:ascii="細明體" w:eastAsia="細明體" w:hAnsi="細明體" w:cs="細明體" w:hint="eastAsia"/>
                <w:spacing w:val="-59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pacing w:val="-17"/>
                <w:sz w:val="20"/>
                <w:lang w:eastAsia="zh-TW"/>
              </w:rPr>
              <w:t>站、車庫、變電所</w:t>
            </w:r>
            <w:r>
              <w:rPr>
                <w:rFonts w:ascii="細明體" w:eastAsia="細明體" w:hAnsi="細明體" w:cs="細明體" w:hint="eastAsia"/>
                <w:spacing w:val="-14"/>
                <w:sz w:val="20"/>
                <w:lang w:eastAsia="zh-TW"/>
              </w:rPr>
              <w:t>飛機庫、汽車修理場、</w:t>
            </w:r>
            <w:r>
              <w:rPr>
                <w:spacing w:val="-14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4"/>
                <w:sz w:val="20"/>
                <w:lang w:eastAsia="zh-TW"/>
              </w:rPr>
              <w:t>電視</w:t>
            </w:r>
          </w:p>
          <w:p w:rsidR="0004520B" w:rsidRDefault="0004520B" w:rsidP="006067B9">
            <w:pPr>
              <w:pStyle w:val="TableParagraph"/>
              <w:spacing w:line="349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攝影場等類似場所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left="-15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 w:rsidR="00A574A6">
              <w:rPr>
                <w:sz w:val="20"/>
              </w:rPr>
              <w:t xml:space="preserve"> </w:t>
            </w:r>
            <w:r w:rsidR="00A574A6"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 w:rsidR="00A574A6"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05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1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r>
              <w:rPr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5B5B31" w:rsidP="006067B9">
            <w:pPr>
              <w:pStyle w:val="TableParagraph"/>
              <w:spacing w:before="117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供儲存、包裝、製造一般物品之場所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70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0"/>
                <w:lang w:eastAsia="zh-TW"/>
              </w:rPr>
              <w:t>一般工廠、工作場、倉庫等類場所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5B5B31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以上，未</w:t>
            </w:r>
            <w:proofErr w:type="spellEnd"/>
          </w:p>
          <w:p w:rsidR="0004520B" w:rsidRDefault="0004520B" w:rsidP="006067B9">
            <w:pPr>
              <w:pStyle w:val="TableParagraph"/>
              <w:spacing w:line="362" w:lineRule="exact"/>
              <w:ind w:left="93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達</w:t>
            </w:r>
            <w:r>
              <w:rPr>
                <w:sz w:val="20"/>
              </w:rPr>
              <w:t xml:space="preserve"> 1000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5B5B31" w:rsidP="006067B9">
            <w:pPr>
              <w:pStyle w:val="TableParagraph"/>
              <w:spacing w:before="126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spacing w:line="338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Ｄ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休</w:t>
            </w: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閒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文教類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jc w:val="both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lastRenderedPageBreak/>
              <w:t>供運動、休閒、參</w:t>
            </w: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lastRenderedPageBreak/>
              <w:t>觀、閱覽、教學之場所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lastRenderedPageBreak/>
              <w:t>供低密度使用人口運動休閒之場所。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0"/>
                <w:lang w:eastAsia="zh-TW"/>
              </w:rPr>
              <w:lastRenderedPageBreak/>
              <w:t>保齡球館、溜冰場、室內游泳</w:t>
            </w: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lastRenderedPageBreak/>
              <w:t>池、室內球類運動場、室內機</w:t>
            </w:r>
          </w:p>
          <w:p w:rsidR="0004520B" w:rsidRDefault="0004520B" w:rsidP="006067B9">
            <w:pPr>
              <w:pStyle w:val="TableParagraph"/>
              <w:spacing w:line="348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械遊樂場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F272F" w:rsidP="006067B9">
            <w:pPr>
              <w:pStyle w:val="TableParagraph"/>
              <w:spacing w:line="339" w:lineRule="exact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05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F272F" w:rsidP="006067B9">
            <w:pPr>
              <w:pStyle w:val="TableParagraph"/>
              <w:spacing w:before="117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line="370" w:lineRule="exact"/>
              <w:ind w:left="7" w:right="-29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7"/>
                <w:sz w:val="20"/>
                <w:lang w:eastAsia="zh-TW"/>
              </w:rPr>
              <w:t>供參觀、閱覽、會議，且無舞台設備之場所。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會議廳、展示廳、博物館、美術館、圖書館等類似場所。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F272F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6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CB6EEF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供小學學童使用之教學場所。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6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小學教室等類似場所。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層以上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CB6EEF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0B365E">
            <w:pPr>
              <w:pStyle w:val="TableParagraph"/>
              <w:spacing w:line="339" w:lineRule="exact"/>
              <w:ind w:right="529"/>
              <w:jc w:val="right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r>
              <w:rPr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sz w:val="20"/>
              </w:rPr>
              <w:t>層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CB6EEF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</w:tbl>
    <w:p w:rsidR="002E49CB" w:rsidRDefault="002E49CB" w:rsidP="00570700">
      <w:pPr>
        <w:rPr>
          <w:color w:val="E36C0A"/>
          <w:szCs w:val="22"/>
          <w:lang w:eastAsia="zh-TW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9"/>
        <w:gridCol w:w="1598"/>
        <w:gridCol w:w="360"/>
        <w:gridCol w:w="3780"/>
        <w:gridCol w:w="2520"/>
        <w:gridCol w:w="1080"/>
        <w:gridCol w:w="1260"/>
        <w:gridCol w:w="1260"/>
        <w:gridCol w:w="2520"/>
      </w:tblGrid>
      <w:tr w:rsidR="0004520B" w:rsidTr="006067B9">
        <w:trPr>
          <w:trHeight w:val="360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４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供國中以上各級學校使用之教學場所</w:t>
            </w:r>
          </w:p>
        </w:tc>
        <w:tc>
          <w:tcPr>
            <w:tcW w:w="2520" w:type="dxa"/>
            <w:vMerge w:val="restart"/>
          </w:tcPr>
          <w:p w:rsidR="0004520B" w:rsidRDefault="0004520B" w:rsidP="00160AEC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23"/>
                <w:sz w:val="20"/>
                <w:lang w:eastAsia="zh-TW"/>
              </w:rPr>
              <w:t>國中、中學、專科學校、學院</w:t>
            </w:r>
          </w:p>
          <w:p w:rsidR="0004520B" w:rsidRDefault="0004520B" w:rsidP="00160AEC">
            <w:pPr>
              <w:pStyle w:val="TableParagraph"/>
              <w:spacing w:line="276" w:lineRule="auto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大學等之教室等類似場所。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left="-15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r>
              <w:rPr>
                <w:sz w:val="20"/>
              </w:rPr>
              <w:t xml:space="preserve"> 5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層以上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2B3F90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5E0031">
            <w:pPr>
              <w:pStyle w:val="TableParagraph"/>
              <w:spacing w:line="339" w:lineRule="exact"/>
              <w:ind w:right="529"/>
              <w:jc w:val="right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 </w:t>
            </w:r>
            <w:r>
              <w:rPr>
                <w:rFonts w:ascii="細明體" w:eastAsia="細明體" w:hAnsi="細明體" w:cs="細明體" w:hint="eastAsia"/>
                <w:sz w:val="20"/>
              </w:rPr>
              <w:t>層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2B3F90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1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５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供短期職業訓練、各類補習教育及課業輔導</w:t>
            </w:r>
          </w:p>
          <w:p w:rsidR="0004520B" w:rsidRDefault="0004520B" w:rsidP="006067B9">
            <w:pPr>
              <w:pStyle w:val="TableParagraph"/>
              <w:spacing w:line="367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之教學場所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6"/>
                <w:sz w:val="20"/>
                <w:lang w:eastAsia="zh-TW"/>
              </w:rPr>
              <w:t>補習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（訓練</w:t>
            </w:r>
            <w:r>
              <w:rPr>
                <w:rFonts w:ascii="細明體" w:eastAsia="細明體" w:hAnsi="細明體" w:cs="細明體" w:hint="eastAsia"/>
                <w:spacing w:val="-33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班教室、兒童托</w:t>
            </w:r>
          </w:p>
          <w:p w:rsidR="0004520B" w:rsidRDefault="0004520B" w:rsidP="006067B9">
            <w:pPr>
              <w:pStyle w:val="TableParagraph"/>
              <w:spacing w:line="367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育中心（安親、才藝班）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1079"/>
        </w:trPr>
        <w:tc>
          <w:tcPr>
            <w:tcW w:w="288" w:type="dxa"/>
          </w:tcPr>
          <w:p w:rsidR="0004520B" w:rsidRDefault="0004520B" w:rsidP="006067B9">
            <w:pPr>
              <w:pStyle w:val="TableParagraph"/>
              <w:spacing w:before="121"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Ｅ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</w:tcPr>
          <w:p w:rsidR="0004520B" w:rsidRDefault="0004520B" w:rsidP="006067B9"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宗</w:t>
            </w:r>
          </w:p>
          <w:p w:rsidR="0004520B" w:rsidRDefault="0004520B" w:rsidP="006067B9">
            <w:pPr>
              <w:pStyle w:val="TableParagraph"/>
              <w:spacing w:line="360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教</w:t>
            </w:r>
          </w:p>
          <w:p w:rsidR="0004520B" w:rsidRDefault="0004520B" w:rsidP="006067B9">
            <w:pPr>
              <w:pStyle w:val="TableParagraph"/>
              <w:spacing w:line="366" w:lineRule="exact"/>
              <w:ind w:left="2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1598" w:type="dxa"/>
          </w:tcPr>
          <w:p w:rsidR="0004520B" w:rsidRDefault="0004520B" w:rsidP="006067B9">
            <w:pPr>
              <w:pStyle w:val="TableParagraph"/>
              <w:spacing w:before="166" w:line="204" w:lineRule="auto"/>
              <w:ind w:left="7" w:right="173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供宗教信徒聚會活動之場所。</w:t>
            </w: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780" w:type="dxa"/>
          </w:tcPr>
          <w:p w:rsidR="0004520B" w:rsidRPr="00C8514A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166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寺、廟、教堂、宗祠等類似場所。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B578E9" w:rsidP="006067B9">
            <w:pPr>
              <w:pStyle w:val="TableParagraph"/>
              <w:spacing w:before="1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6"/>
              <w:rPr>
                <w:sz w:val="16"/>
              </w:rPr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Ｆ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衛</w:t>
            </w:r>
          </w:p>
          <w:p w:rsidR="0004520B" w:rsidRDefault="0004520B" w:rsidP="006067B9">
            <w:pPr>
              <w:pStyle w:val="TableParagraph"/>
              <w:spacing w:line="360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生</w:t>
            </w:r>
          </w:p>
          <w:p w:rsidR="0004520B" w:rsidRDefault="0004520B" w:rsidP="006067B9">
            <w:pPr>
              <w:pStyle w:val="TableParagraph"/>
              <w:spacing w:before="12"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福利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更</w:t>
            </w: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生</w:t>
            </w:r>
            <w:proofErr w:type="spellEnd"/>
          </w:p>
          <w:p w:rsidR="0004520B" w:rsidRDefault="0004520B" w:rsidP="006067B9">
            <w:pPr>
              <w:pStyle w:val="TableParagraph"/>
              <w:spacing w:line="353" w:lineRule="exact"/>
              <w:ind w:left="27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9"/>
              <w:rPr>
                <w:sz w:val="12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供身體行動能力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受到健康、年紀或其他因素影響，</w:t>
            </w:r>
            <w:r>
              <w:rPr>
                <w:spacing w:val="-4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需特別照護者之使用場所。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供醫療照護之場所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醫院、療養院、精神病院等類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似場所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1500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372766"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1500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5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372766" w:rsidP="006067B9">
            <w:pPr>
              <w:pStyle w:val="TableParagraph"/>
              <w:spacing w:line="339" w:lineRule="exact"/>
              <w:ind w:left="88" w:right="7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供殘障者教養、醫療、復健、重建、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訓練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（庇護</w:t>
            </w:r>
            <w:r>
              <w:rPr>
                <w:rFonts w:ascii="細明體" w:eastAsia="細明體" w:hAnsi="細明體" w:cs="細明體" w:hint="eastAsia"/>
                <w:spacing w:val="-100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、輔導、服務之場所。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殘障福利機構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41" w:lineRule="exact"/>
              <w:ind w:left="84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供學齡前兒童照護之場所。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兒童福利設施、幼稚園、托兒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41" w:lineRule="exact"/>
              <w:ind w:left="84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5"/>
              <w:rPr>
                <w:sz w:val="11"/>
              </w:rPr>
            </w:pPr>
          </w:p>
          <w:p w:rsidR="0004520B" w:rsidRDefault="0004520B" w:rsidP="006067B9">
            <w:pPr>
              <w:pStyle w:val="TableParagraph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４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5"/>
              <w:rPr>
                <w:sz w:val="11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供限制個人活動之戒護場所。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13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勒戒所、監獄所、看守所、感化院、觀護所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D07862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615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67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67"/>
              <w:ind w:left="42" w:right="26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D07862" w:rsidP="006067B9">
            <w:pPr>
              <w:pStyle w:val="TableParagraph"/>
              <w:spacing w:before="67"/>
              <w:ind w:left="87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2"/>
              <w:rPr>
                <w:sz w:val="29"/>
              </w:rPr>
            </w:pPr>
          </w:p>
          <w:p w:rsidR="0004520B" w:rsidRDefault="0004520B" w:rsidP="006067B9">
            <w:pPr>
              <w:pStyle w:val="TableParagraph"/>
              <w:spacing w:before="1"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Ｇ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before="15"/>
              <w:rPr>
                <w:sz w:val="17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辦公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服務類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5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供商談、接洽、處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理一般事務或一</w:t>
            </w: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般門診、零售、日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常服務之場所。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供商談、接洽、處理一般事務，且使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用人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替換頻率高之場所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金融機構、證券交易場所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6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供商談、接洽、處理一般事務之場所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66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政府機關、一般辦公室、事務所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39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以上，未</w:t>
            </w:r>
            <w:proofErr w:type="spellEnd"/>
          </w:p>
          <w:p w:rsidR="0004520B" w:rsidRDefault="0004520B" w:rsidP="006067B9">
            <w:pPr>
              <w:pStyle w:val="TableParagraph"/>
              <w:spacing w:line="367" w:lineRule="exact"/>
              <w:ind w:left="90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達</w:t>
            </w:r>
            <w:r>
              <w:rPr>
                <w:sz w:val="20"/>
              </w:rPr>
              <w:t xml:space="preserve"> 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供一般門診、零售、日常服務之場所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2"/>
                <w:sz w:val="20"/>
                <w:lang w:eastAsia="zh-TW"/>
              </w:rPr>
              <w:t>一般診所、衛生所、店</w:t>
            </w:r>
            <w:proofErr w:type="gramStart"/>
            <w:r>
              <w:rPr>
                <w:rFonts w:ascii="細明體" w:eastAsia="細明體" w:hAnsi="細明體" w:cs="細明體" w:hint="eastAsia"/>
                <w:spacing w:val="-12"/>
                <w:sz w:val="20"/>
                <w:lang w:eastAsia="zh-TW"/>
              </w:rPr>
              <w:t>舖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零</w:t>
            </w:r>
          </w:p>
          <w:p w:rsidR="0004520B" w:rsidRDefault="0004520B" w:rsidP="006067B9">
            <w:pPr>
              <w:pStyle w:val="TableParagraph"/>
              <w:spacing w:before="12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售</w:t>
            </w:r>
            <w:proofErr w:type="gramStart"/>
            <w:r>
              <w:rPr>
                <w:rFonts w:ascii="細明體" w:eastAsia="細明體" w:hAnsi="細明體" w:cs="細明體" w:hint="eastAsia"/>
                <w:spacing w:val="-100"/>
                <w:sz w:val="20"/>
                <w:lang w:eastAsia="zh-TW"/>
              </w:rPr>
              <w:t>）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、理髮、安養（收容）中心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39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以上，未</w:t>
            </w:r>
            <w:proofErr w:type="spellEnd"/>
          </w:p>
          <w:p w:rsidR="0004520B" w:rsidRDefault="0004520B" w:rsidP="006067B9">
            <w:pPr>
              <w:pStyle w:val="TableParagraph"/>
              <w:spacing w:line="367" w:lineRule="exact"/>
              <w:ind w:left="90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達</w:t>
            </w:r>
            <w:r>
              <w:rPr>
                <w:sz w:val="20"/>
              </w:rPr>
              <w:t xml:space="preserve"> 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4520B" w:rsidRDefault="004F2421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四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04520B" w:rsidRDefault="0017641A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BC5F9B" w:rsidTr="006067B9">
        <w:trPr>
          <w:trHeight w:val="719"/>
        </w:trPr>
        <w:tc>
          <w:tcPr>
            <w:tcW w:w="288" w:type="dxa"/>
            <w:vMerge w:val="restart"/>
          </w:tcPr>
          <w:p w:rsidR="00BC5F9B" w:rsidRDefault="00BC5F9B" w:rsidP="006067B9">
            <w:pPr>
              <w:pStyle w:val="TableParagraph"/>
              <w:rPr>
                <w:sz w:val="23"/>
              </w:rPr>
            </w:pPr>
          </w:p>
          <w:p w:rsidR="00BC5F9B" w:rsidRDefault="00BC5F9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Ｈ</w:t>
            </w:r>
          </w:p>
          <w:p w:rsidR="00BC5F9B" w:rsidRDefault="00BC5F9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BC5F9B" w:rsidRDefault="00BC5F9B" w:rsidP="006067B9">
            <w:pPr>
              <w:pStyle w:val="TableParagraph"/>
              <w:spacing w:before="12"/>
              <w:rPr>
                <w:sz w:val="16"/>
              </w:rPr>
            </w:pPr>
          </w:p>
          <w:p w:rsidR="00BC5F9B" w:rsidRDefault="00BC5F9B" w:rsidP="006067B9">
            <w:pPr>
              <w:pStyle w:val="TableParagraph"/>
              <w:spacing w:before="1"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住宿類</w:t>
            </w:r>
            <w:proofErr w:type="spellEnd"/>
          </w:p>
        </w:tc>
        <w:tc>
          <w:tcPr>
            <w:tcW w:w="1598" w:type="dxa"/>
            <w:vMerge w:val="restart"/>
          </w:tcPr>
          <w:p w:rsidR="00BC5F9B" w:rsidRDefault="00BC5F9B" w:rsidP="006067B9">
            <w:pPr>
              <w:pStyle w:val="TableParagraph"/>
              <w:spacing w:before="2"/>
              <w:rPr>
                <w:sz w:val="25"/>
                <w:lang w:eastAsia="zh-TW"/>
              </w:rPr>
            </w:pPr>
          </w:p>
          <w:p w:rsidR="00BC5F9B" w:rsidRDefault="00BC5F9B" w:rsidP="006067B9">
            <w:pPr>
              <w:pStyle w:val="TableParagraph"/>
              <w:spacing w:line="204" w:lineRule="auto"/>
              <w:ind w:left="7" w:right="173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供特定人住宿之場所。</w:t>
            </w:r>
          </w:p>
        </w:tc>
        <w:tc>
          <w:tcPr>
            <w:tcW w:w="360" w:type="dxa"/>
            <w:vMerge w:val="restart"/>
          </w:tcPr>
          <w:p w:rsidR="00BC5F9B" w:rsidRDefault="00BC5F9B" w:rsidP="006067B9">
            <w:pPr>
              <w:pStyle w:val="TableParagraph"/>
              <w:spacing w:before="121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BC5F9B" w:rsidRDefault="00BC5F9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供特定人短期住宿之場所。</w:t>
            </w:r>
          </w:p>
        </w:tc>
        <w:tc>
          <w:tcPr>
            <w:tcW w:w="2520" w:type="dxa"/>
            <w:vMerge w:val="restart"/>
          </w:tcPr>
          <w:p w:rsidR="00BC5F9B" w:rsidRDefault="00BC5F9B" w:rsidP="006067B9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寄宿舍、招待所、學校宿舍</w:t>
            </w:r>
          </w:p>
          <w:p w:rsidR="00BC5F9B" w:rsidRDefault="00BC5F9B" w:rsidP="006067B9">
            <w:pPr>
              <w:pStyle w:val="TableParagraph"/>
              <w:spacing w:line="366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養老院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、安養（收容）中心</w:t>
            </w:r>
          </w:p>
        </w:tc>
        <w:tc>
          <w:tcPr>
            <w:tcW w:w="1080" w:type="dxa"/>
          </w:tcPr>
          <w:p w:rsidR="00BC5F9B" w:rsidRDefault="00BC5F9B" w:rsidP="006067B9">
            <w:pPr>
              <w:pStyle w:val="TableParagraph"/>
              <w:spacing w:line="366" w:lineRule="exact"/>
              <w:ind w:left="-16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pacing w:val="1"/>
                <w:sz w:val="20"/>
              </w:rPr>
              <w:t>、</w:t>
            </w:r>
          </w:p>
        </w:tc>
        <w:tc>
          <w:tcPr>
            <w:tcW w:w="1260" w:type="dxa"/>
          </w:tcPr>
          <w:p w:rsidR="00BC5F9B" w:rsidRDefault="00BC5F9B" w:rsidP="006067B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BC5F9B" w:rsidRDefault="00BC5F9B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BC5F9B" w:rsidRDefault="007437B0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BC5F9B" w:rsidTr="006067B9">
        <w:trPr>
          <w:trHeight w:val="719"/>
        </w:trPr>
        <w:tc>
          <w:tcPr>
            <w:tcW w:w="288" w:type="dxa"/>
            <w:vMerge/>
          </w:tcPr>
          <w:p w:rsidR="00BC5F9B" w:rsidRDefault="00BC5F9B" w:rsidP="006067B9">
            <w:pPr>
              <w:pStyle w:val="TableParagraph"/>
              <w:rPr>
                <w:sz w:val="23"/>
              </w:rPr>
            </w:pPr>
          </w:p>
        </w:tc>
        <w:tc>
          <w:tcPr>
            <w:tcW w:w="259" w:type="dxa"/>
            <w:vMerge/>
          </w:tcPr>
          <w:p w:rsidR="00BC5F9B" w:rsidRDefault="00BC5F9B" w:rsidP="006067B9">
            <w:pPr>
              <w:pStyle w:val="TableParagraph"/>
              <w:spacing w:before="12"/>
              <w:rPr>
                <w:sz w:val="16"/>
              </w:rPr>
            </w:pPr>
          </w:p>
        </w:tc>
        <w:tc>
          <w:tcPr>
            <w:tcW w:w="1598" w:type="dxa"/>
            <w:vMerge/>
          </w:tcPr>
          <w:p w:rsidR="00BC5F9B" w:rsidRDefault="00BC5F9B" w:rsidP="006067B9">
            <w:pPr>
              <w:pStyle w:val="TableParagraph"/>
              <w:spacing w:before="2"/>
              <w:rPr>
                <w:sz w:val="25"/>
                <w:lang w:eastAsia="zh-TW"/>
              </w:rPr>
            </w:pPr>
          </w:p>
        </w:tc>
        <w:tc>
          <w:tcPr>
            <w:tcW w:w="360" w:type="dxa"/>
            <w:vMerge/>
          </w:tcPr>
          <w:p w:rsidR="00BC5F9B" w:rsidRDefault="00BC5F9B" w:rsidP="006067B9">
            <w:pPr>
              <w:pStyle w:val="TableParagraph"/>
              <w:spacing w:before="121"/>
              <w:ind w:left="14"/>
              <w:jc w:val="center"/>
              <w:rPr>
                <w:rFonts w:ascii="細明體" w:eastAsia="細明體" w:hAnsi="細明體" w:cs="細明體"/>
                <w:sz w:val="20"/>
              </w:rPr>
            </w:pPr>
          </w:p>
        </w:tc>
        <w:tc>
          <w:tcPr>
            <w:tcW w:w="3780" w:type="dxa"/>
            <w:vMerge/>
          </w:tcPr>
          <w:p w:rsidR="00BC5F9B" w:rsidRDefault="00BC5F9B" w:rsidP="006067B9">
            <w:pPr>
              <w:pStyle w:val="TableParagraph"/>
              <w:spacing w:before="121"/>
              <w:ind w:left="7"/>
              <w:rPr>
                <w:rFonts w:ascii="細明體" w:eastAsia="細明體" w:hAnsi="細明體" w:cs="細明體"/>
                <w:sz w:val="20"/>
                <w:lang w:eastAsia="zh-TW"/>
              </w:rPr>
            </w:pPr>
          </w:p>
        </w:tc>
        <w:tc>
          <w:tcPr>
            <w:tcW w:w="2520" w:type="dxa"/>
            <w:vMerge/>
          </w:tcPr>
          <w:p w:rsidR="00BC5F9B" w:rsidRDefault="00BC5F9B" w:rsidP="006067B9">
            <w:pPr>
              <w:pStyle w:val="TableParagraph"/>
              <w:spacing w:line="334" w:lineRule="exact"/>
              <w:ind w:left="7"/>
              <w:rPr>
                <w:rFonts w:ascii="細明體" w:eastAsia="細明體" w:hAnsi="細明體" w:cs="細明體"/>
                <w:sz w:val="20"/>
                <w:lang w:eastAsia="zh-TW"/>
              </w:rPr>
            </w:pPr>
          </w:p>
        </w:tc>
        <w:tc>
          <w:tcPr>
            <w:tcW w:w="1080" w:type="dxa"/>
          </w:tcPr>
          <w:p w:rsidR="00BC5F9B" w:rsidRDefault="00BC5F9B" w:rsidP="006067B9">
            <w:pPr>
              <w:pStyle w:val="TableParagraph"/>
              <w:spacing w:line="366" w:lineRule="exact"/>
              <w:ind w:left="-161"/>
              <w:rPr>
                <w:rFonts w:ascii="細明體" w:eastAsia="細明體" w:hAnsi="細明體" w:cs="細明體"/>
                <w:spacing w:val="1"/>
                <w:sz w:val="20"/>
              </w:rPr>
            </w:pPr>
          </w:p>
        </w:tc>
        <w:tc>
          <w:tcPr>
            <w:tcW w:w="1260" w:type="dxa"/>
          </w:tcPr>
          <w:p w:rsidR="00BC5F9B" w:rsidRDefault="007437B0" w:rsidP="006067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BC5F9B" w:rsidRDefault="00601891" w:rsidP="006067B9">
            <w:pPr>
              <w:pStyle w:val="TableParagraph"/>
              <w:spacing w:before="121"/>
              <w:ind w:left="42" w:right="27"/>
              <w:jc w:val="center"/>
              <w:rPr>
                <w:rFonts w:ascii="細明體" w:eastAsia="細明體" w:hAnsi="細明體" w:cs="細明體"/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四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BC5F9B" w:rsidRDefault="007437B0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供特定人長期住宿之場所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住宅、集合住宅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right="14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A76781">
              <w:rPr>
                <w:sz w:val="20"/>
              </w:rPr>
              <w:t>6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w w:val="90"/>
                <w:sz w:val="20"/>
              </w:rPr>
              <w:t>層以上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FE35B8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345572">
        <w:trPr>
          <w:trHeight w:val="719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1A3787" w:rsidP="006067B9">
            <w:pPr>
              <w:pStyle w:val="TableParagraph"/>
              <w:spacing w:line="334" w:lineRule="exact"/>
              <w:ind w:left="42" w:right="27"/>
              <w:jc w:val="center"/>
              <w:rPr>
                <w:sz w:val="20"/>
              </w:rPr>
            </w:pPr>
            <w:r w:rsidRPr="001A3787">
              <w:rPr>
                <w:rFonts w:eastAsiaTheme="minorEastAsia"/>
                <w:sz w:val="20"/>
                <w:lang w:eastAsia="zh-TW"/>
              </w:rPr>
              <w:t>8</w:t>
            </w:r>
            <w:r w:rsidR="0004520B">
              <w:rPr>
                <w:sz w:val="20"/>
              </w:rPr>
              <w:t xml:space="preserve"> 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層以上未</w:t>
            </w:r>
            <w:proofErr w:type="spellEnd"/>
          </w:p>
          <w:p w:rsidR="0004520B" w:rsidRDefault="0004520B" w:rsidP="006067B9">
            <w:pPr>
              <w:pStyle w:val="TableParagraph"/>
              <w:spacing w:line="366" w:lineRule="exact"/>
              <w:ind w:left="41" w:right="27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達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 w:rsidR="001A3787">
              <w:rPr>
                <w:sz w:val="20"/>
              </w:rPr>
              <w:t>6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層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345572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三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04520B" w:rsidRDefault="00FE35B8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345572" w:rsidTr="006067B9">
        <w:trPr>
          <w:trHeight w:val="719"/>
        </w:trPr>
        <w:tc>
          <w:tcPr>
            <w:tcW w:w="288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45572" w:rsidRDefault="00345572" w:rsidP="00345572">
            <w:pPr>
              <w:pStyle w:val="TableParagraph"/>
              <w:spacing w:line="334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層以上未</w:t>
            </w:r>
            <w:proofErr w:type="spellEnd"/>
          </w:p>
          <w:p w:rsidR="00345572" w:rsidRPr="001A3787" w:rsidRDefault="00345572" w:rsidP="00345572">
            <w:pPr>
              <w:pStyle w:val="TableParagraph"/>
              <w:spacing w:line="334" w:lineRule="exact"/>
              <w:ind w:left="42" w:right="27"/>
              <w:jc w:val="center"/>
              <w:rPr>
                <w:rFonts w:eastAsiaTheme="minorEastAsia" w:hint="eastAsia"/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達</w:t>
            </w:r>
            <w:r>
              <w:rPr>
                <w:rFonts w:ascii="細明體" w:eastAsia="細明體" w:hAnsi="細明體" w:cs="細明體" w:hint="eastAsia"/>
                <w:w w:val="90"/>
                <w:sz w:val="20"/>
                <w:lang w:eastAsia="zh-TW"/>
              </w:rPr>
              <w:t xml:space="preserve"> </w:t>
            </w:r>
            <w:r w:rsidRPr="001A3787">
              <w:rPr>
                <w:rFonts w:eastAsiaTheme="minorEastAsia"/>
                <w:sz w:val="20"/>
                <w:lang w:eastAsia="zh-TW"/>
              </w:rPr>
              <w:t>8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層</w:t>
            </w:r>
          </w:p>
        </w:tc>
        <w:tc>
          <w:tcPr>
            <w:tcW w:w="1260" w:type="dxa"/>
          </w:tcPr>
          <w:p w:rsidR="00345572" w:rsidRDefault="00345572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45572" w:rsidRDefault="00F57548" w:rsidP="006067B9">
            <w:pPr>
              <w:pStyle w:val="TableParagraph"/>
              <w:spacing w:before="121"/>
              <w:ind w:left="42" w:right="27"/>
              <w:jc w:val="center"/>
              <w:rPr>
                <w:rFonts w:ascii="細明體" w:eastAsia="細明體" w:hAnsi="細明體" w:cs="細明體"/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四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345572" w:rsidRDefault="00F57548" w:rsidP="006067B9">
            <w:pPr>
              <w:pStyle w:val="TableParagraph"/>
              <w:spacing w:before="121"/>
              <w:ind w:left="85" w:right="72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</w:p>
        </w:tc>
      </w:tr>
    </w:tbl>
    <w:p w:rsidR="00160AEC" w:rsidRPr="00D0398E" w:rsidRDefault="00160AEC" w:rsidP="00570700">
      <w:pPr>
        <w:rPr>
          <w:color w:val="E36C0A"/>
          <w:szCs w:val="22"/>
          <w:lang w:eastAsia="zh-TW"/>
        </w:rPr>
      </w:pPr>
    </w:p>
    <w:sectPr w:rsidR="00160AEC" w:rsidRPr="00D0398E" w:rsidSect="00570700">
      <w:pgSz w:w="16838" w:h="11906" w:orient="landscape"/>
      <w:pgMar w:top="737" w:right="1021" w:bottom="737" w:left="73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6C" w:rsidRDefault="00A66B6C" w:rsidP="00682820">
      <w:r>
        <w:separator/>
      </w:r>
    </w:p>
  </w:endnote>
  <w:endnote w:type="continuationSeparator" w:id="0">
    <w:p w:rsidR="00A66B6C" w:rsidRDefault="00A66B6C" w:rsidP="0068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6C" w:rsidRDefault="00A66B6C" w:rsidP="00682820">
      <w:r>
        <w:separator/>
      </w:r>
    </w:p>
  </w:footnote>
  <w:footnote w:type="continuationSeparator" w:id="0">
    <w:p w:rsidR="00A66B6C" w:rsidRDefault="00A66B6C" w:rsidP="0068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77"/>
    <w:multiLevelType w:val="hybridMultilevel"/>
    <w:tmpl w:val="0E66B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85BAA"/>
    <w:multiLevelType w:val="hybridMultilevel"/>
    <w:tmpl w:val="C6E6F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2171A0"/>
    <w:multiLevelType w:val="hybridMultilevel"/>
    <w:tmpl w:val="B2D8B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B5A"/>
    <w:rsid w:val="00002542"/>
    <w:rsid w:val="00024BC1"/>
    <w:rsid w:val="000346DD"/>
    <w:rsid w:val="0004520B"/>
    <w:rsid w:val="000561B6"/>
    <w:rsid w:val="000564A0"/>
    <w:rsid w:val="000629A1"/>
    <w:rsid w:val="00071A93"/>
    <w:rsid w:val="00073618"/>
    <w:rsid w:val="00086D7E"/>
    <w:rsid w:val="000A649E"/>
    <w:rsid w:val="000B365E"/>
    <w:rsid w:val="000B6CBC"/>
    <w:rsid w:val="000D31C9"/>
    <w:rsid w:val="000D4D73"/>
    <w:rsid w:val="000F272F"/>
    <w:rsid w:val="00105E14"/>
    <w:rsid w:val="00113FEA"/>
    <w:rsid w:val="00114A5A"/>
    <w:rsid w:val="00141559"/>
    <w:rsid w:val="001426A6"/>
    <w:rsid w:val="00145428"/>
    <w:rsid w:val="00160AEC"/>
    <w:rsid w:val="00161756"/>
    <w:rsid w:val="0017641A"/>
    <w:rsid w:val="001852B9"/>
    <w:rsid w:val="001A3787"/>
    <w:rsid w:val="001B1DBB"/>
    <w:rsid w:val="001D7934"/>
    <w:rsid w:val="001E277D"/>
    <w:rsid w:val="001E69C7"/>
    <w:rsid w:val="001F4E1A"/>
    <w:rsid w:val="001F65A6"/>
    <w:rsid w:val="00203D81"/>
    <w:rsid w:val="00220DD4"/>
    <w:rsid w:val="0022673A"/>
    <w:rsid w:val="00232DA2"/>
    <w:rsid w:val="00237F16"/>
    <w:rsid w:val="00264A5D"/>
    <w:rsid w:val="0026609B"/>
    <w:rsid w:val="00292DFE"/>
    <w:rsid w:val="002968E3"/>
    <w:rsid w:val="002A15E9"/>
    <w:rsid w:val="002A4E95"/>
    <w:rsid w:val="002A532D"/>
    <w:rsid w:val="002B0675"/>
    <w:rsid w:val="002B3F90"/>
    <w:rsid w:val="002C6BA9"/>
    <w:rsid w:val="002E49CB"/>
    <w:rsid w:val="002E6878"/>
    <w:rsid w:val="002F1D74"/>
    <w:rsid w:val="002F3ED4"/>
    <w:rsid w:val="00303DEE"/>
    <w:rsid w:val="00310174"/>
    <w:rsid w:val="00324A54"/>
    <w:rsid w:val="00345572"/>
    <w:rsid w:val="00372766"/>
    <w:rsid w:val="00372DAC"/>
    <w:rsid w:val="003858DC"/>
    <w:rsid w:val="003868E6"/>
    <w:rsid w:val="00391E7F"/>
    <w:rsid w:val="003A473B"/>
    <w:rsid w:val="003C4E8A"/>
    <w:rsid w:val="003D2D2E"/>
    <w:rsid w:val="003D7097"/>
    <w:rsid w:val="003F52D3"/>
    <w:rsid w:val="003F53F3"/>
    <w:rsid w:val="003F7847"/>
    <w:rsid w:val="00401375"/>
    <w:rsid w:val="004227F9"/>
    <w:rsid w:val="0046060D"/>
    <w:rsid w:val="0047137C"/>
    <w:rsid w:val="00471BA6"/>
    <w:rsid w:val="004A5DB7"/>
    <w:rsid w:val="004C68E5"/>
    <w:rsid w:val="004D10EE"/>
    <w:rsid w:val="004F2421"/>
    <w:rsid w:val="005318DD"/>
    <w:rsid w:val="00534F9D"/>
    <w:rsid w:val="00542211"/>
    <w:rsid w:val="0056143C"/>
    <w:rsid w:val="00570700"/>
    <w:rsid w:val="00572336"/>
    <w:rsid w:val="00574004"/>
    <w:rsid w:val="00583810"/>
    <w:rsid w:val="00585DE4"/>
    <w:rsid w:val="005919CC"/>
    <w:rsid w:val="005A5519"/>
    <w:rsid w:val="005B5B31"/>
    <w:rsid w:val="005C59DC"/>
    <w:rsid w:val="005C7906"/>
    <w:rsid w:val="005D1046"/>
    <w:rsid w:val="005D1082"/>
    <w:rsid w:val="005E0031"/>
    <w:rsid w:val="005F571C"/>
    <w:rsid w:val="005F77B5"/>
    <w:rsid w:val="005F780A"/>
    <w:rsid w:val="00601891"/>
    <w:rsid w:val="00613568"/>
    <w:rsid w:val="0063279A"/>
    <w:rsid w:val="00633C41"/>
    <w:rsid w:val="00646A45"/>
    <w:rsid w:val="006669E9"/>
    <w:rsid w:val="00682820"/>
    <w:rsid w:val="0068364A"/>
    <w:rsid w:val="00695F30"/>
    <w:rsid w:val="006E264C"/>
    <w:rsid w:val="00701E45"/>
    <w:rsid w:val="007437B0"/>
    <w:rsid w:val="00763A84"/>
    <w:rsid w:val="00764817"/>
    <w:rsid w:val="0077134F"/>
    <w:rsid w:val="00796B5D"/>
    <w:rsid w:val="007A100F"/>
    <w:rsid w:val="007B0269"/>
    <w:rsid w:val="007C1876"/>
    <w:rsid w:val="007C6D5A"/>
    <w:rsid w:val="007F3E27"/>
    <w:rsid w:val="00817ADC"/>
    <w:rsid w:val="00823210"/>
    <w:rsid w:val="008244C7"/>
    <w:rsid w:val="00834836"/>
    <w:rsid w:val="008447E1"/>
    <w:rsid w:val="00845C6B"/>
    <w:rsid w:val="00863C44"/>
    <w:rsid w:val="008A0E72"/>
    <w:rsid w:val="008B0671"/>
    <w:rsid w:val="008D7FE2"/>
    <w:rsid w:val="008F0083"/>
    <w:rsid w:val="009011F9"/>
    <w:rsid w:val="00912DB9"/>
    <w:rsid w:val="0093314D"/>
    <w:rsid w:val="00950598"/>
    <w:rsid w:val="00950BC9"/>
    <w:rsid w:val="00952068"/>
    <w:rsid w:val="009539F8"/>
    <w:rsid w:val="009610CA"/>
    <w:rsid w:val="00961CBF"/>
    <w:rsid w:val="00966B5A"/>
    <w:rsid w:val="00971DC9"/>
    <w:rsid w:val="009811B8"/>
    <w:rsid w:val="00984DB7"/>
    <w:rsid w:val="00987770"/>
    <w:rsid w:val="009F568C"/>
    <w:rsid w:val="00A152A0"/>
    <w:rsid w:val="00A24082"/>
    <w:rsid w:val="00A25EE0"/>
    <w:rsid w:val="00A40AFC"/>
    <w:rsid w:val="00A574A6"/>
    <w:rsid w:val="00A66B6C"/>
    <w:rsid w:val="00A76781"/>
    <w:rsid w:val="00AA015F"/>
    <w:rsid w:val="00AB7527"/>
    <w:rsid w:val="00B03976"/>
    <w:rsid w:val="00B14D1F"/>
    <w:rsid w:val="00B3455E"/>
    <w:rsid w:val="00B46F1C"/>
    <w:rsid w:val="00B578E9"/>
    <w:rsid w:val="00B77E55"/>
    <w:rsid w:val="00BA1C7E"/>
    <w:rsid w:val="00BA3FB0"/>
    <w:rsid w:val="00BA477E"/>
    <w:rsid w:val="00BC5F9B"/>
    <w:rsid w:val="00BD457A"/>
    <w:rsid w:val="00BD5704"/>
    <w:rsid w:val="00BD7FFA"/>
    <w:rsid w:val="00BE0345"/>
    <w:rsid w:val="00BE4CE0"/>
    <w:rsid w:val="00BE5C5B"/>
    <w:rsid w:val="00C11C71"/>
    <w:rsid w:val="00C153B0"/>
    <w:rsid w:val="00C26601"/>
    <w:rsid w:val="00C40B5D"/>
    <w:rsid w:val="00C41D1B"/>
    <w:rsid w:val="00C51B88"/>
    <w:rsid w:val="00C5713B"/>
    <w:rsid w:val="00C8348C"/>
    <w:rsid w:val="00C8514A"/>
    <w:rsid w:val="00C864B6"/>
    <w:rsid w:val="00CA0F87"/>
    <w:rsid w:val="00CA762B"/>
    <w:rsid w:val="00CB6EEF"/>
    <w:rsid w:val="00CD7289"/>
    <w:rsid w:val="00CF101C"/>
    <w:rsid w:val="00CF7D97"/>
    <w:rsid w:val="00D0398E"/>
    <w:rsid w:val="00D07862"/>
    <w:rsid w:val="00D54617"/>
    <w:rsid w:val="00D57BF6"/>
    <w:rsid w:val="00D645CE"/>
    <w:rsid w:val="00D65538"/>
    <w:rsid w:val="00D80971"/>
    <w:rsid w:val="00D857BE"/>
    <w:rsid w:val="00D97ED1"/>
    <w:rsid w:val="00DE0879"/>
    <w:rsid w:val="00E253B5"/>
    <w:rsid w:val="00E36C28"/>
    <w:rsid w:val="00E4378E"/>
    <w:rsid w:val="00E76ACF"/>
    <w:rsid w:val="00E835DB"/>
    <w:rsid w:val="00E9036F"/>
    <w:rsid w:val="00E931BC"/>
    <w:rsid w:val="00EA53CF"/>
    <w:rsid w:val="00EC39AD"/>
    <w:rsid w:val="00ED27A3"/>
    <w:rsid w:val="00EE70B8"/>
    <w:rsid w:val="00EF777D"/>
    <w:rsid w:val="00F061D5"/>
    <w:rsid w:val="00F16DA2"/>
    <w:rsid w:val="00F17860"/>
    <w:rsid w:val="00F20BB9"/>
    <w:rsid w:val="00F21DC4"/>
    <w:rsid w:val="00F36F1F"/>
    <w:rsid w:val="00F37A4E"/>
    <w:rsid w:val="00F42A10"/>
    <w:rsid w:val="00F4631C"/>
    <w:rsid w:val="00F56F73"/>
    <w:rsid w:val="00F57548"/>
    <w:rsid w:val="00F65B41"/>
    <w:rsid w:val="00F70D93"/>
    <w:rsid w:val="00F711EC"/>
    <w:rsid w:val="00F857C7"/>
    <w:rsid w:val="00FA3B3D"/>
    <w:rsid w:val="00FB5BE9"/>
    <w:rsid w:val="00FB685E"/>
    <w:rsid w:val="00FB7B3E"/>
    <w:rsid w:val="00FE35B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7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877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E27"/>
    <w:rPr>
      <w:color w:val="336600"/>
      <w:u w:val="single"/>
    </w:rPr>
  </w:style>
  <w:style w:type="paragraph" w:styleId="Web">
    <w:name w:val="Normal (Web)"/>
    <w:basedOn w:val="a"/>
    <w:rsid w:val="007F3E27"/>
    <w:pPr>
      <w:spacing w:before="100" w:beforeAutospacing="1" w:after="100" w:afterAutospacing="1"/>
    </w:pPr>
    <w:rPr>
      <w:rFonts w:ascii="新細明體"/>
    </w:rPr>
  </w:style>
  <w:style w:type="table" w:styleId="a4">
    <w:name w:val="Table Grid"/>
    <w:basedOn w:val="a1"/>
    <w:rsid w:val="007C6D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3B0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82820"/>
    <w:rPr>
      <w:kern w:val="2"/>
    </w:rPr>
  </w:style>
  <w:style w:type="paragraph" w:styleId="a8">
    <w:name w:val="footer"/>
    <w:basedOn w:val="a"/>
    <w:link w:val="a9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82820"/>
    <w:rPr>
      <w:kern w:val="2"/>
    </w:rPr>
  </w:style>
  <w:style w:type="paragraph" w:styleId="aa">
    <w:name w:val="Subtitle"/>
    <w:basedOn w:val="a"/>
    <w:next w:val="a"/>
    <w:link w:val="ab"/>
    <w:uiPriority w:val="11"/>
    <w:qFormat/>
    <w:rsid w:val="0098777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basedOn w:val="a0"/>
    <w:link w:val="aa"/>
    <w:uiPriority w:val="11"/>
    <w:rsid w:val="00987770"/>
    <w:rPr>
      <w:rFonts w:ascii="Cambria" w:eastAsia="新細明體" w:hAnsi="Cambria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87770"/>
    <w:rPr>
      <w:rFonts w:ascii="Calibri" w:hAnsi="Calibri"/>
      <w:b/>
      <w:i/>
      <w:iCs/>
    </w:rPr>
  </w:style>
  <w:style w:type="character" w:styleId="ad">
    <w:name w:val="Strong"/>
    <w:basedOn w:val="a0"/>
    <w:uiPriority w:val="22"/>
    <w:qFormat/>
    <w:rsid w:val="00987770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877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987770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87770"/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af0">
    <w:name w:val="No Spacing"/>
    <w:basedOn w:val="a"/>
    <w:uiPriority w:val="1"/>
    <w:qFormat/>
    <w:rsid w:val="00987770"/>
    <w:rPr>
      <w:szCs w:val="32"/>
    </w:rPr>
  </w:style>
  <w:style w:type="character" w:styleId="af1">
    <w:name w:val="Subtle Emphasis"/>
    <w:uiPriority w:val="19"/>
    <w:qFormat/>
    <w:rsid w:val="00987770"/>
    <w:rPr>
      <w:i/>
      <w:color w:val="5A5A5A"/>
    </w:rPr>
  </w:style>
  <w:style w:type="character" w:styleId="af2">
    <w:name w:val="Intense Emphasis"/>
    <w:basedOn w:val="a0"/>
    <w:uiPriority w:val="21"/>
    <w:qFormat/>
    <w:rsid w:val="00987770"/>
    <w:rPr>
      <w:b/>
      <w:i/>
      <w:sz w:val="24"/>
      <w:szCs w:val="24"/>
      <w:u w:val="single"/>
    </w:rPr>
  </w:style>
  <w:style w:type="paragraph" w:styleId="af3">
    <w:name w:val="Quote"/>
    <w:basedOn w:val="a"/>
    <w:next w:val="a"/>
    <w:link w:val="af4"/>
    <w:uiPriority w:val="29"/>
    <w:qFormat/>
    <w:rsid w:val="00987770"/>
    <w:rPr>
      <w:i/>
    </w:rPr>
  </w:style>
  <w:style w:type="character" w:customStyle="1" w:styleId="af4">
    <w:name w:val="引文 字元"/>
    <w:basedOn w:val="a0"/>
    <w:link w:val="af3"/>
    <w:uiPriority w:val="29"/>
    <w:rsid w:val="0098777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87770"/>
    <w:pPr>
      <w:ind w:left="720" w:right="720"/>
    </w:pPr>
    <w:rPr>
      <w:b/>
      <w:i/>
      <w:szCs w:val="22"/>
    </w:rPr>
  </w:style>
  <w:style w:type="character" w:customStyle="1" w:styleId="af6">
    <w:name w:val="鮮明引文 字元"/>
    <w:basedOn w:val="a0"/>
    <w:link w:val="af5"/>
    <w:uiPriority w:val="30"/>
    <w:rsid w:val="00987770"/>
    <w:rPr>
      <w:b/>
      <w:i/>
      <w:sz w:val="24"/>
    </w:rPr>
  </w:style>
  <w:style w:type="character" w:styleId="af7">
    <w:name w:val="Subtle Reference"/>
    <w:basedOn w:val="a0"/>
    <w:uiPriority w:val="31"/>
    <w:qFormat/>
    <w:rsid w:val="0098777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777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7770"/>
    <w:rPr>
      <w:rFonts w:ascii="Cambria" w:eastAsia="新細明體" w:hAnsi="Cambria"/>
      <w:b/>
      <w:i/>
      <w:sz w:val="24"/>
      <w:szCs w:val="24"/>
    </w:rPr>
  </w:style>
  <w:style w:type="paragraph" w:styleId="afa">
    <w:name w:val="List Paragraph"/>
    <w:basedOn w:val="a"/>
    <w:uiPriority w:val="34"/>
    <w:qFormat/>
    <w:rsid w:val="00987770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semiHidden/>
    <w:rsid w:val="00987770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87770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987770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87770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987770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987770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987770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987770"/>
    <w:rPr>
      <w:rFonts w:ascii="Cambria" w:eastAsia="新細明體" w:hAnsi="Cambria"/>
    </w:rPr>
  </w:style>
  <w:style w:type="paragraph" w:styleId="afb">
    <w:name w:val="TOC Heading"/>
    <w:basedOn w:val="1"/>
    <w:next w:val="a"/>
    <w:uiPriority w:val="39"/>
    <w:semiHidden/>
    <w:unhideWhenUsed/>
    <w:qFormat/>
    <w:rsid w:val="00987770"/>
    <w:pPr>
      <w:outlineLvl w:val="9"/>
    </w:pPr>
  </w:style>
  <w:style w:type="paragraph" w:styleId="afc">
    <w:name w:val="Body Text"/>
    <w:basedOn w:val="a"/>
    <w:link w:val="afd"/>
    <w:uiPriority w:val="1"/>
    <w:unhideWhenUsed/>
    <w:qFormat/>
    <w:rsid w:val="002E49CB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lang w:bidi="ar-SA"/>
    </w:rPr>
  </w:style>
  <w:style w:type="character" w:customStyle="1" w:styleId="afd">
    <w:name w:val="本文 字元"/>
    <w:basedOn w:val="a0"/>
    <w:link w:val="afc"/>
    <w:uiPriority w:val="1"/>
    <w:rsid w:val="002E49CB"/>
    <w:rPr>
      <w:rFonts w:ascii="Droid Sans Fallback" w:eastAsia="Droid Sans Fallback" w:hAnsi="Droid Sans Fallback" w:cs="Droid Sans Fallback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E49CB"/>
    <w:pPr>
      <w:widowControl w:val="0"/>
      <w:autoSpaceDE w:val="0"/>
      <w:autoSpaceDN w:val="0"/>
      <w:spacing w:line="340" w:lineRule="exact"/>
      <w:ind w:left="74"/>
    </w:pPr>
    <w:rPr>
      <w:rFonts w:ascii="Droid Sans Fallback" w:eastAsia="Droid Sans Fallback" w:hAnsi="Droid Sans Fallback" w:cs="Droid Sans Fallback"/>
      <w:sz w:val="22"/>
      <w:szCs w:val="22"/>
      <w:lang w:bidi="ar-SA"/>
    </w:rPr>
  </w:style>
  <w:style w:type="table" w:customStyle="1" w:styleId="TableNormal">
    <w:name w:val="Table Normal"/>
    <w:uiPriority w:val="2"/>
    <w:semiHidden/>
    <w:qFormat/>
    <w:rsid w:val="002E49C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60AE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C2A4-1A1A-44B9-BC92-35EA41B4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538</Words>
  <Characters>3069</Characters>
  <Application>Microsoft Office Word</Application>
  <DocSecurity>0</DocSecurity>
  <Lines>25</Lines>
  <Paragraphs>7</Paragraphs>
  <ScaleCrop>false</ScaleCrop>
  <Company>人人消防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57</cp:revision>
  <cp:lastPrinted>2013-06-05T06:40:00Z</cp:lastPrinted>
  <dcterms:created xsi:type="dcterms:W3CDTF">2018-08-15T05:46:00Z</dcterms:created>
  <dcterms:modified xsi:type="dcterms:W3CDTF">2020-06-16T05:43:00Z</dcterms:modified>
</cp:coreProperties>
</file>